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DB02" w14:textId="77777777" w:rsidR="00FB0990" w:rsidRDefault="00FB0990" w:rsidP="00FB0990">
      <w:pPr>
        <w:pStyle w:val="rvps6"/>
        <w:shd w:val="clear" w:color="auto" w:fill="FFFFFF"/>
        <w:spacing w:before="300" w:beforeAutospacing="0" w:after="0" w:afterAutospacing="0"/>
        <w:ind w:left="450" w:right="450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>ПЕРЕЛІК</w:t>
      </w:r>
      <w:r>
        <w:rPr>
          <w:color w:val="333333"/>
        </w:rPr>
        <w:br/>
      </w:r>
      <w:r>
        <w:rPr>
          <w:rStyle w:val="rvts23"/>
          <w:b/>
          <w:bCs/>
          <w:color w:val="333333"/>
          <w:sz w:val="32"/>
          <w:szCs w:val="32"/>
        </w:rPr>
        <w:t>машин, механізмів, устатковання підвищеної небезпеки,</w:t>
      </w:r>
    </w:p>
    <w:p w14:paraId="42FCBABC" w14:textId="77777777" w:rsidR="00FB0990" w:rsidRDefault="00FB0990" w:rsidP="00FB0990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color w:val="333333"/>
        </w:rPr>
      </w:pPr>
      <w:r w:rsidRPr="008D32A9">
        <w:rPr>
          <w:b/>
          <w:bCs/>
          <w:color w:val="333333"/>
          <w:sz w:val="28"/>
          <w:szCs w:val="28"/>
        </w:rPr>
        <w:t>які е</w:t>
      </w:r>
      <w:r>
        <w:rPr>
          <w:b/>
          <w:bCs/>
          <w:color w:val="333333"/>
          <w:sz w:val="28"/>
          <w:szCs w:val="28"/>
        </w:rPr>
        <w:t>ксплуатуються</w:t>
      </w:r>
      <w:r w:rsidRPr="00FB727C">
        <w:rPr>
          <w:b/>
          <w:bCs/>
          <w:color w:val="333333"/>
          <w:sz w:val="28"/>
          <w:szCs w:val="28"/>
        </w:rPr>
        <w:t xml:space="preserve"> на підставі </w:t>
      </w:r>
      <w:r w:rsidRPr="00FB727C">
        <w:rPr>
          <w:b/>
          <w:bCs/>
          <w:color w:val="333333"/>
          <w:sz w:val="28"/>
          <w:szCs w:val="28"/>
          <w:highlight w:val="yellow"/>
        </w:rPr>
        <w:t>дозволу</w:t>
      </w:r>
    </w:p>
    <w:p w14:paraId="7494A46C" w14:textId="77777777" w:rsidR="00FB0990" w:rsidRDefault="00FB0990" w:rsidP="00FB099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bookmarkStart w:id="0" w:name="n14"/>
      <w:bookmarkEnd w:id="0"/>
      <w:r>
        <w:rPr>
          <w:rStyle w:val="rvts15"/>
          <w:b/>
          <w:bCs/>
          <w:color w:val="333333"/>
          <w:sz w:val="28"/>
          <w:szCs w:val="28"/>
        </w:rPr>
        <w:t>Група А</w:t>
      </w:r>
    </w:p>
    <w:p w14:paraId="0574B32E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15"/>
      <w:bookmarkEnd w:id="1"/>
      <w:r>
        <w:rPr>
          <w:color w:val="333333"/>
        </w:rPr>
        <w:t>1. 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вибухопожежонебезпечних і небезпечних речовин 1 і 2 класу небезпеки, маса яких дорівнює або перевищує нормативи порогових мас, що визначені постановою Кабінету Міністрів України від 11 липня 2002 р. </w:t>
      </w:r>
      <w:hyperlink r:id="rId4" w:tgtFrame="_blank" w:history="1">
        <w:r>
          <w:rPr>
            <w:rStyle w:val="a3"/>
            <w:color w:val="000099"/>
          </w:rPr>
          <w:t>№ 956</w:t>
        </w:r>
      </w:hyperlink>
      <w:r>
        <w:rPr>
          <w:color w:val="333333"/>
        </w:rPr>
        <w:t> “Про ідентифікацію та декларування безпеки об’єктів підвищеної небезпеки” (Офіційний вісник України, 2002 р., № 29, ст. 1357).</w:t>
      </w:r>
    </w:p>
    <w:p w14:paraId="690AAD92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16"/>
      <w:bookmarkEnd w:id="2"/>
      <w:r>
        <w:rPr>
          <w:color w:val="333333"/>
        </w:rPr>
        <w:t>2. Гірничошахтне та гірничорятувальне устатковання та устатковання для видобутку, транспортування, дроблення, сортування та збагачення корисних копалин і огрудкування руд та концентратів.</w:t>
      </w:r>
    </w:p>
    <w:p w14:paraId="59B1AD47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17"/>
      <w:bookmarkEnd w:id="3"/>
      <w:r>
        <w:rPr>
          <w:color w:val="333333"/>
        </w:rPr>
        <w:t>3. Машини, механізми, устатковання (агрегати, пристрої), у яких відбувається утворення, розлив, перевезення, заливка, продувка та випуск рідкого металу.</w:t>
      </w:r>
    </w:p>
    <w:p w14:paraId="10516492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18"/>
      <w:bookmarkEnd w:id="4"/>
      <w:r>
        <w:rPr>
          <w:color w:val="333333"/>
        </w:rPr>
        <w:t>4. Технологічне устатковання магістральних газопроводів, нафтопроводів, продуктопроводів (нафтопродуктопроводів, аміакопроводів, етиленопроводів), систем промислового та міжпромислового збору нафти і газу, об’єктів нафтогазовидобувної промисловості.</w:t>
      </w:r>
    </w:p>
    <w:p w14:paraId="1D8BFE79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19"/>
      <w:bookmarkEnd w:id="5"/>
      <w:r>
        <w:rPr>
          <w:color w:val="333333"/>
        </w:rPr>
        <w:t>5. Обладнання, що працює під тиском, яке зазначене:</w:t>
      </w:r>
    </w:p>
    <w:p w14:paraId="1EAE1BBC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20"/>
      <w:bookmarkEnd w:id="6"/>
      <w:r>
        <w:rPr>
          <w:color w:val="333333"/>
        </w:rPr>
        <w:t>1) у </w:t>
      </w:r>
      <w:hyperlink r:id="rId5" w:anchor="n13" w:tgtFrame="_blank" w:history="1">
        <w:r>
          <w:rPr>
            <w:rStyle w:val="a3"/>
            <w:color w:val="000099"/>
          </w:rPr>
          <w:t>Технічному регламенті обладнання, що працює під тиском</w:t>
        </w:r>
      </w:hyperlink>
      <w:r>
        <w:rPr>
          <w:color w:val="333333"/>
        </w:rPr>
        <w:t>, затвердженому постановою Кабінету Міністрів України від 16 січня 2019 р. № 27 (Офіційний вісник України, 2019 р., № 9, ст. 325);</w:t>
      </w:r>
    </w:p>
    <w:p w14:paraId="186AC27B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7" w:name="n21"/>
      <w:bookmarkEnd w:id="7"/>
      <w:r>
        <w:rPr>
          <w:color w:val="333333"/>
        </w:rPr>
        <w:t>2) у </w:t>
      </w:r>
      <w:hyperlink r:id="rId6" w:anchor="n17" w:tgtFrame="_blank" w:history="1">
        <w:r>
          <w:rPr>
            <w:rStyle w:val="a3"/>
            <w:color w:val="000099"/>
          </w:rPr>
          <w:t>пункті 2</w:t>
        </w:r>
      </w:hyperlink>
      <w:r>
        <w:rPr>
          <w:color w:val="333333"/>
        </w:rPr>
        <w:t> Технічного регламенту простих посудин високого тиску, затвердженого постановою Кабінету Міністрів України від 28 грудня 2016 р. № 1025 (Офіційний вісник України, 2017 р., № 4, ст. 130).</w:t>
      </w:r>
    </w:p>
    <w:p w14:paraId="52B3B197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22"/>
      <w:bookmarkEnd w:id="8"/>
      <w:r>
        <w:rPr>
          <w:color w:val="333333"/>
        </w:rPr>
        <w:t>6. Котли з високотемпературним органічним теплоносієм теплопродуктивністю понад 0,1 МВт.</w:t>
      </w:r>
    </w:p>
    <w:p w14:paraId="52B0BD94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23"/>
      <w:bookmarkEnd w:id="9"/>
      <w:r>
        <w:rPr>
          <w:color w:val="333333"/>
        </w:rPr>
        <w:t>7. Вантажопідіймальні крани і машини, ліфти, підйомники для підіймання працівників, пасажирські підвісні канатні дороги, фунікулери, ескалатори та пасажирські конвеєри, колиски приводні для підіймання працівників.</w:t>
      </w:r>
    </w:p>
    <w:p w14:paraId="6165BACB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24"/>
      <w:bookmarkEnd w:id="10"/>
      <w:r>
        <w:rPr>
          <w:color w:val="333333"/>
        </w:rPr>
        <w:t>8. Устатковання напругою понад 1000 В.</w:t>
      </w:r>
    </w:p>
    <w:p w14:paraId="16BBEA65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25"/>
      <w:bookmarkEnd w:id="11"/>
      <w:r>
        <w:rPr>
          <w:color w:val="333333"/>
        </w:rPr>
        <w:t>9. Атракціони підвищеної небезпеки (стаціонарні, пересувні та мобільні).</w:t>
      </w:r>
    </w:p>
    <w:p w14:paraId="421BE6B4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26"/>
      <w:bookmarkEnd w:id="12"/>
      <w:r>
        <w:rPr>
          <w:color w:val="333333"/>
        </w:rPr>
        <w:t>10. Обладнання та захисні системи, призначені для використання в потенційно вибухонебезпечних середовищах, зазначені у </w:t>
      </w:r>
      <w:hyperlink r:id="rId7" w:anchor="n207" w:tgtFrame="_blank" w:history="1">
        <w:r>
          <w:rPr>
            <w:rStyle w:val="a3"/>
            <w:color w:val="000099"/>
          </w:rPr>
          <w:t>додатку 1</w:t>
        </w:r>
      </w:hyperlink>
      <w:r>
        <w:rPr>
          <w:color w:val="333333"/>
        </w:rPr>
        <w:t> до Технічного регламенту обладнання та захисних систем, призначених для використання в потенційно вибухонебезпечних середовищах, затвердженого постановою Кабінету Міністрів України від 28 грудня 2016 р. № 1055 (Офіційний вісник України, 2017 р., № 8, ст. 236).</w:t>
      </w:r>
    </w:p>
    <w:p w14:paraId="436E6234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7CBA446C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10DFD3C8" w14:textId="77777777" w:rsidR="00FB0990" w:rsidRPr="00FB0990" w:rsidRDefault="00FB0990" w:rsidP="00FB0990">
      <w:pPr>
        <w:pStyle w:val="rvps6"/>
        <w:shd w:val="clear" w:color="auto" w:fill="FFFFFF"/>
        <w:spacing w:before="30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bookmarkStart w:id="13" w:name="n27"/>
      <w:bookmarkEnd w:id="13"/>
      <w:r w:rsidRPr="00FB0990">
        <w:rPr>
          <w:rStyle w:val="rvts23"/>
          <w:b/>
          <w:bCs/>
          <w:color w:val="333333"/>
          <w:sz w:val="32"/>
          <w:szCs w:val="32"/>
        </w:rPr>
        <w:lastRenderedPageBreak/>
        <w:t>ПЕРЕЛІК</w:t>
      </w:r>
      <w:r w:rsidRPr="00FB0990">
        <w:rPr>
          <w:rStyle w:val="rvts15"/>
          <w:b/>
          <w:bCs/>
          <w:sz w:val="28"/>
          <w:szCs w:val="28"/>
          <w:highlight w:val="yellow"/>
        </w:rPr>
        <w:br/>
      </w:r>
      <w:r w:rsidRPr="00FB0990">
        <w:rPr>
          <w:rStyle w:val="rvts15"/>
          <w:b/>
          <w:bCs/>
          <w:color w:val="333333"/>
          <w:sz w:val="28"/>
          <w:szCs w:val="28"/>
        </w:rPr>
        <w:t>машин, механізмів, устатковання підвищеної небезпеки,</w:t>
      </w:r>
    </w:p>
    <w:p w14:paraId="75CC4C89" w14:textId="77777777" w:rsidR="00FB0990" w:rsidRDefault="00FB0990" w:rsidP="00FB0990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  <w:r w:rsidRPr="00FB0990">
        <w:rPr>
          <w:rStyle w:val="rvts15"/>
          <w:b/>
          <w:bCs/>
          <w:color w:val="333333"/>
          <w:sz w:val="28"/>
          <w:szCs w:val="28"/>
        </w:rPr>
        <w:t xml:space="preserve">які експлуатуються на підставі </w:t>
      </w:r>
    </w:p>
    <w:p w14:paraId="39A11C68" w14:textId="77777777" w:rsidR="00FB0990" w:rsidRPr="00FB0990" w:rsidRDefault="00FB0990" w:rsidP="00FB0990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b/>
          <w:bCs/>
          <w:sz w:val="28"/>
          <w:szCs w:val="28"/>
        </w:rPr>
      </w:pPr>
      <w:r w:rsidRPr="00FB0990">
        <w:rPr>
          <w:rStyle w:val="rvts15"/>
          <w:b/>
          <w:bCs/>
          <w:color w:val="333333"/>
          <w:sz w:val="28"/>
          <w:szCs w:val="28"/>
          <w:highlight w:val="yellow"/>
        </w:rPr>
        <w:t>декларації</w:t>
      </w:r>
      <w:r w:rsidRPr="00FB0990">
        <w:rPr>
          <w:rStyle w:val="rvts15"/>
          <w:b/>
          <w:bCs/>
          <w:color w:val="333333"/>
          <w:sz w:val="28"/>
          <w:szCs w:val="28"/>
        </w:rPr>
        <w:t xml:space="preserve"> відповідності матеріально-технічної бази вимогам законодавства з питань охорони праці</w:t>
      </w:r>
    </w:p>
    <w:p w14:paraId="74CB8656" w14:textId="77777777" w:rsidR="00FB0990" w:rsidRDefault="00FB0990" w:rsidP="00FB0990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333333"/>
        </w:rPr>
      </w:pPr>
      <w:r>
        <w:rPr>
          <w:rStyle w:val="rvts15"/>
          <w:b/>
          <w:bCs/>
          <w:color w:val="333333"/>
          <w:sz w:val="28"/>
          <w:szCs w:val="28"/>
        </w:rPr>
        <w:t>Група Б</w:t>
      </w:r>
    </w:p>
    <w:p w14:paraId="3EED992A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4" w:name="n28"/>
      <w:bookmarkEnd w:id="14"/>
      <w:r>
        <w:rPr>
          <w:color w:val="333333"/>
        </w:rPr>
        <w:t>1. Усі типи машин та устатковання, що наведені у </w:t>
      </w:r>
      <w:hyperlink r:id="rId8" w:anchor="n16" w:tgtFrame="_blank" w:history="1">
        <w:r>
          <w:rPr>
            <w:rStyle w:val="a3"/>
            <w:color w:val="000099"/>
          </w:rPr>
          <w:t>підпунктах 1</w:t>
        </w:r>
      </w:hyperlink>
      <w:r>
        <w:rPr>
          <w:color w:val="333333"/>
        </w:rPr>
        <w:t> і </w:t>
      </w:r>
      <w:hyperlink r:id="rId9" w:anchor="n22" w:tgtFrame="_blank" w:history="1">
        <w:r>
          <w:rPr>
            <w:rStyle w:val="a3"/>
            <w:color w:val="000099"/>
          </w:rPr>
          <w:t>2</w:t>
        </w:r>
      </w:hyperlink>
      <w:r>
        <w:rPr>
          <w:color w:val="333333"/>
        </w:rPr>
        <w:t> пункту 2 Технічного регламенту безпеки машин, затвердженого постановою Кабінету Міністрів України від 30 січня 2013 р. № 62 (Офіційний вісник України, 2013 р., № 9, ст. 344), що не зазначені у </w:t>
      </w:r>
      <w:hyperlink r:id="rId10" w:anchor="n14" w:history="1">
        <w:r>
          <w:rPr>
            <w:rStyle w:val="a3"/>
            <w:color w:val="006600"/>
          </w:rPr>
          <w:t>групі А</w:t>
        </w:r>
      </w:hyperlink>
      <w:r>
        <w:rPr>
          <w:color w:val="333333"/>
        </w:rPr>
        <w:t>.</w:t>
      </w:r>
    </w:p>
    <w:p w14:paraId="3C19A6EA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29"/>
      <w:bookmarkEnd w:id="15"/>
      <w:r>
        <w:rPr>
          <w:color w:val="333333"/>
        </w:rPr>
        <w:t>2. Ковальсько-пресове устатковання.</w:t>
      </w:r>
    </w:p>
    <w:p w14:paraId="3F2543DD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6" w:name="n30"/>
      <w:bookmarkEnd w:id="16"/>
      <w:r>
        <w:rPr>
          <w:color w:val="333333"/>
        </w:rPr>
        <w:t>3. Підйомники для підіймання транспортних засобів.</w:t>
      </w:r>
    </w:p>
    <w:p w14:paraId="13A93B7F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31"/>
      <w:bookmarkEnd w:id="17"/>
      <w:r>
        <w:rPr>
          <w:color w:val="333333"/>
        </w:rPr>
        <w:t>4. Системи газопостачання природним і зрідженим газом суб’єктів господарювання, а також газовикористовуюче обладнання потужністю понад 0,1 МВт.</w:t>
      </w:r>
    </w:p>
    <w:p w14:paraId="5E5C322E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32"/>
      <w:bookmarkEnd w:id="18"/>
      <w:r>
        <w:rPr>
          <w:color w:val="333333"/>
        </w:rPr>
        <w:t>5. Машини спеціалізованих перевантажувальних комплексів.</w:t>
      </w:r>
    </w:p>
    <w:p w14:paraId="11FDEDA6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33"/>
      <w:bookmarkEnd w:id="19"/>
      <w:r>
        <w:rPr>
          <w:color w:val="333333"/>
        </w:rPr>
        <w:t>6. Великотоннажний та інший технологічний транспортний засіб, визначений </w:t>
      </w:r>
      <w:hyperlink r:id="rId11" w:anchor="n17" w:tgtFrame="_blank" w:history="1">
        <w:r>
          <w:rPr>
            <w:rStyle w:val="a3"/>
            <w:color w:val="000099"/>
          </w:rPr>
          <w:t>підпунктом 1</w:t>
        </w:r>
      </w:hyperlink>
      <w:r>
        <w:rPr>
          <w:color w:val="333333"/>
        </w:rPr>
        <w:t> 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 р. № 8 (Офіційний вісник України, 2010 р., № 1, ст. 26).</w:t>
      </w:r>
    </w:p>
    <w:p w14:paraId="5592B219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0" w:name="n34"/>
      <w:bookmarkEnd w:id="20"/>
      <w:r>
        <w:rPr>
          <w:color w:val="333333"/>
        </w:rPr>
        <w:t>7. 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вибухопожежонебезпечних і небезпечних речовин 1 і 2 класу небезпеки, маса яких становить більше одного відсотка значення нормативів порогових мас другого класу об’єктів підвищеної небезпеки, що визначені постановою Кабінету Міністрів України від 11 липня 2002 р. </w:t>
      </w:r>
      <w:hyperlink r:id="rId12" w:tgtFrame="_blank" w:history="1">
        <w:r>
          <w:rPr>
            <w:rStyle w:val="a3"/>
            <w:color w:val="000099"/>
          </w:rPr>
          <w:t>№ 956</w:t>
        </w:r>
      </w:hyperlink>
      <w:r>
        <w:rPr>
          <w:color w:val="333333"/>
        </w:rPr>
        <w:t> “Про ідентифікацію та декларування безпеки об’єктів підвищеної небезпеки” (Офіційний вісник України, 2002 р., № 29, ст. 1357), але менша його граничного значення.</w:t>
      </w:r>
    </w:p>
    <w:p w14:paraId="77C75D25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35"/>
      <w:bookmarkEnd w:id="21"/>
      <w:r>
        <w:rPr>
          <w:color w:val="333333"/>
        </w:rPr>
        <w:t>8. Інші машини, механізми, устатковання, що не увійшли до </w:t>
      </w:r>
      <w:hyperlink r:id="rId13" w:anchor="n14" w:history="1">
        <w:r>
          <w:rPr>
            <w:rStyle w:val="a3"/>
            <w:color w:val="006600"/>
          </w:rPr>
          <w:t>групи А</w:t>
        </w:r>
      </w:hyperlink>
      <w:r>
        <w:rPr>
          <w:color w:val="333333"/>
        </w:rPr>
        <w:t> та до яких виробником встановлені вимоги щодо проведення технічного огляду, випробування та/або експертного обстеження (технічне діагностування).</w:t>
      </w:r>
    </w:p>
    <w:p w14:paraId="364D3C25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2" w:name="n36"/>
      <w:bookmarkEnd w:id="22"/>
      <w:r>
        <w:rPr>
          <w:color w:val="333333"/>
        </w:rPr>
        <w:t>9. Рухоме обладнання, що працює під тиском, зазначене у </w:t>
      </w:r>
      <w:hyperlink r:id="rId14" w:anchor="n42" w:tgtFrame="_blank" w:history="1">
        <w:r>
          <w:rPr>
            <w:rStyle w:val="a3"/>
            <w:color w:val="000099"/>
          </w:rPr>
          <w:t>підпункті 18</w:t>
        </w:r>
      </w:hyperlink>
      <w:r>
        <w:rPr>
          <w:color w:val="333333"/>
        </w:rPr>
        <w:t> пункту 5 Технічного регламенту рухомого обладнання, що працює під тиском, затвердженого постановою Кабінету Міністрів України від 4 липня 2018 р. № 536 (Офіційний вісник України, 2018 р., № 55, ст. 1921).</w:t>
      </w:r>
    </w:p>
    <w:p w14:paraId="4C0919E7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3" w:name="n37"/>
      <w:bookmarkEnd w:id="23"/>
      <w:r>
        <w:rPr>
          <w:color w:val="333333"/>
        </w:rPr>
        <w:t>10. Технологічне устатковання для утилізації зброї, звичайних видів боєприпасів.</w:t>
      </w:r>
    </w:p>
    <w:p w14:paraId="1433912E" w14:textId="77777777" w:rsidR="00FB0990" w:rsidRDefault="00FB0990" w:rsidP="00FB09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4" w:name="n38"/>
      <w:bookmarkEnd w:id="24"/>
      <w:r>
        <w:rPr>
          <w:color w:val="333333"/>
        </w:rPr>
        <w:t>11. Устатковання та технічні засоби для виготовлення, використання і транспортування вибухових матеріалів промислового призначення і виробів на їх основі, комплекси для їх переробки та зберігання.</w:t>
      </w:r>
    </w:p>
    <w:p w14:paraId="19555885" w14:textId="77777777" w:rsidR="009F6836" w:rsidRDefault="009F6836"/>
    <w:sectPr w:rsidR="009F683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990"/>
    <w:rsid w:val="008D32A9"/>
    <w:rsid w:val="009F6836"/>
    <w:rsid w:val="00FB0990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DE9EE"/>
  <w14:defaultImageDpi w14:val="0"/>
  <w15:docId w15:val="{A0F64006-7401-4DC0-9F7A-9209FBF7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FB099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rvts23">
    <w:name w:val="rvts23"/>
    <w:rsid w:val="00FB0990"/>
    <w:rPr>
      <w:rFonts w:cs="Times New Roman"/>
    </w:rPr>
  </w:style>
  <w:style w:type="paragraph" w:customStyle="1" w:styleId="rvps7">
    <w:name w:val="rvps7"/>
    <w:basedOn w:val="a"/>
    <w:rsid w:val="00FB099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rvts15">
    <w:name w:val="rvts15"/>
    <w:rsid w:val="00FB0990"/>
    <w:rPr>
      <w:rFonts w:cs="Times New Roman"/>
    </w:rPr>
  </w:style>
  <w:style w:type="paragraph" w:customStyle="1" w:styleId="rvps2">
    <w:name w:val="rvps2"/>
    <w:basedOn w:val="a"/>
    <w:rsid w:val="00FB0990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a3">
    <w:name w:val="Hyperlink"/>
    <w:uiPriority w:val="99"/>
    <w:semiHidden/>
    <w:unhideWhenUsed/>
    <w:rsid w:val="00FB0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2-2013-%D0%BF" TargetMode="External"/><Relationship Id="rId13" Type="http://schemas.openxmlformats.org/officeDocument/2006/relationships/hyperlink" Target="https://zakon.rada.gov.ua/laws/show/77-2021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055-2016-%D0%BF" TargetMode="External"/><Relationship Id="rId12" Type="http://schemas.openxmlformats.org/officeDocument/2006/relationships/hyperlink" Target="https://zakon.rada.gov.ua/laws/show/956-2002-%D0%B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25-2016-%D0%BF" TargetMode="External"/><Relationship Id="rId11" Type="http://schemas.openxmlformats.org/officeDocument/2006/relationships/hyperlink" Target="https://zakon.rada.gov.ua/laws/show/8-2010-%D0%BF" TargetMode="External"/><Relationship Id="rId5" Type="http://schemas.openxmlformats.org/officeDocument/2006/relationships/hyperlink" Target="https://zakon.rada.gov.ua/laws/show/27-2019-%D0%B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77-2021-%D0%BF" TargetMode="External"/><Relationship Id="rId4" Type="http://schemas.openxmlformats.org/officeDocument/2006/relationships/hyperlink" Target="https://zakon.rada.gov.ua/laws/show/956-2002-%D0%BF" TargetMode="External"/><Relationship Id="rId9" Type="http://schemas.openxmlformats.org/officeDocument/2006/relationships/hyperlink" Target="https://zakon.rada.gov.ua/laws/show/62-2013-%D0%BF" TargetMode="External"/><Relationship Id="rId14" Type="http://schemas.openxmlformats.org/officeDocument/2006/relationships/hyperlink" Target="https://zakon.rada.gov.ua/laws/show/536-2018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3697</Words>
  <Characters>2108</Characters>
  <Application>Microsoft Office Word</Application>
  <DocSecurity>0</DocSecurity>
  <Lines>17</Lines>
  <Paragraphs>11</Paragraphs>
  <ScaleCrop>false</ScaleCrop>
  <Manager>Олександр Тумановський; </Manager>
  <Company>Dracaris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Дозвіл Держпраці</dc:title>
  <dc:subject/>
  <dc:creator>Олександр Тумановський</dc:creator>
  <cp:keywords/>
  <dc:description/>
  <cp:lastModifiedBy>Олександр Тумановський</cp:lastModifiedBy>
  <cp:revision>2</cp:revision>
  <dcterms:created xsi:type="dcterms:W3CDTF">2023-12-10T15:36:00Z</dcterms:created>
  <dcterms:modified xsi:type="dcterms:W3CDTF">2023-12-10T15:36:00Z</dcterms:modified>
</cp:coreProperties>
</file>